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Clinical Director Job Description</w:t>
      </w:r>
    </w:p>
    <w:p w:rsidR="00000000" w:rsidDel="00000000" w:rsidP="00000000" w:rsidRDefault="00000000" w:rsidRPr="00000000" w14:paraId="00000003">
      <w:pPr>
        <w:spacing w:after="16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position of a clinical director at The Nestled Recovery Center involves monitoring and maintaining a therapeutic environment of both inpatient and outpatient facilities ie., overseeing clinical, ancillary, and peer support staff; maintaining a robust and consistently adapting client program schedule, coordinating with medical, nursing, admissions, and operations directors for patient care; auditing charts to maintain accreditation standards; coordinating for coverage of any holes in programming schedule. This position does include facilitating educational and process groups as a means of staying connected with patients first hand which will help guide departmental decision making. </w:t>
      </w:r>
    </w:p>
    <w:p w:rsidR="00000000" w:rsidDel="00000000" w:rsidP="00000000" w:rsidRDefault="00000000" w:rsidRPr="00000000" w14:paraId="00000004">
      <w:pPr>
        <w:spacing w:after="160" w:line="240" w:lineRule="auto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Requirements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160" w:lin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Independently licensed (in Nevada) counselor or clinical social worker for a minimum of 3 years. Preferably with supervision credentials. 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160" w:line="240" w:lineRule="auto"/>
        <w:ind w:left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Master’s degree in a helping professions aforementioned regarding licensure.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160" w:line="240" w:lineRule="auto"/>
        <w:ind w:left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Minimum of one year of management/supervisory experience. </w:t>
      </w:r>
    </w:p>
    <w:p w:rsidR="00000000" w:rsidDel="00000000" w:rsidP="00000000" w:rsidRDefault="00000000" w:rsidRPr="00000000" w14:paraId="00000008">
      <w:pPr>
        <w:spacing w:after="200" w:line="240" w:lineRule="auto"/>
        <w:ind w:left="0" w:firstLine="0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Qualifications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after="200" w:line="240" w:lineRule="auto"/>
        <w:ind w:left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Clear and direct communication skills both written and verbal. 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after="200" w:line="240" w:lineRule="auto"/>
        <w:ind w:left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Ability to train, educate, and inspire team members.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160" w:line="240" w:lineRule="auto"/>
        <w:ind w:left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Ability to creatively problem solve and remain calm under pressure.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160" w:line="240" w:lineRule="auto"/>
        <w:ind w:left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Able to plan ahead, execute plans, and adapt as changes occur.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160" w:line="240" w:lineRule="auto"/>
        <w:ind w:left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 able to ask for help as needed from team members.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160" w:line="240" w:lineRule="auto"/>
        <w:ind w:left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Foresees potential safety issues and reduces harm potential by addressing preventatively.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160" w:lin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Recommends/modifies program policies and procedures and/or recommends new programs as necessary for improved client care, physician relationships or public image. Is able to enforce policies and procedures with both staff and clients.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160" w:lin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Coordinates problem-solving with staff to resolve client care issues.  Works harmoniously with the Executive Director to ensure the clinical goals are accomplished.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160" w:lin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Provides ongoing assistance in staff development and identifies educational needs to improve program functioning.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160" w:lin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Coordinates with Operations Manager to resolve any client complaints.  Is constantly vigilant for all safety concerns for both clients and employees.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160" w:lin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Coordinates admissions to assure that needs of the clients can be met.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160" w:lin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Appropriately considers the sensitivity and confidentiality of medical/psychiatric information along with the need-to-know before sharing information with others. 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160" w:lin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Medical records entries are legible, errors minimized, timely completed and include signature with professional designation.  Users of computer aided records should not share passwords and signoff to reduce unauthorized utilization.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160" w:lin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Demonstrate an ability to identify instances where one’s own cultural, ethnic bias impacts decision-making and behavior and tries to reduce these occurrences.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160" w:line="240" w:lineRule="auto"/>
        <w:ind w:left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interested in job position please send resumes to: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info@thenestledrecovery.com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spacing w:line="360" w:lineRule="auto"/>
      <w:ind w:left="-15" w:firstLine="0"/>
      <w:jc w:val="center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Source Code Pro" w:cs="Source Code Pro" w:eastAsia="Source Code Pro" w:hAnsi="Source Code Pro"/>
        <w:color w:val="424242"/>
        <w:sz w:val="20"/>
        <w:szCs w:val="20"/>
      </w:rPr>
      <w:drawing>
        <wp:inline distB="114300" distT="114300" distL="114300" distR="114300">
          <wp:extent cx="5715000" cy="27432"/>
          <wp:effectExtent b="0" l="0" r="0" t="0"/>
          <wp:docPr descr="horizontal line" id="2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>
                    <a:alphaModFix amt="47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0" cy="274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ageBreakBefore w:val="0"/>
      <w:spacing w:line="360" w:lineRule="auto"/>
      <w:ind w:left="-15" w:firstLine="0"/>
      <w:jc w:val="center"/>
      <w:rPr>
        <w:rFonts w:ascii="Open Sans Light" w:cs="Open Sans Light" w:eastAsia="Open Sans Light" w:hAnsi="Open Sans Light"/>
        <w:color w:val="434343"/>
        <w:sz w:val="20"/>
        <w:szCs w:val="20"/>
      </w:rPr>
    </w:pPr>
    <w:r w:rsidDel="00000000" w:rsidR="00000000" w:rsidRPr="00000000">
      <w:rPr>
        <w:rFonts w:ascii="Open Sans Light" w:cs="Open Sans Light" w:eastAsia="Open Sans Light" w:hAnsi="Open Sans Light"/>
        <w:color w:val="434343"/>
        <w:sz w:val="20"/>
        <w:szCs w:val="20"/>
        <w:rtl w:val="0"/>
      </w:rPr>
      <w:t xml:space="preserve">2860 S Bronco St. Las Vegas, NV 89146</w:t>
    </w:r>
  </w:p>
  <w:p w:rsidR="00000000" w:rsidDel="00000000" w:rsidP="00000000" w:rsidRDefault="00000000" w:rsidRPr="00000000" w14:paraId="0000001E">
    <w:pPr>
      <w:pageBreakBefore w:val="0"/>
      <w:spacing w:line="360" w:lineRule="auto"/>
      <w:ind w:left="-15" w:firstLine="0"/>
      <w:jc w:val="center"/>
      <w:rPr>
        <w:rFonts w:ascii="Open Sans Light" w:cs="Open Sans Light" w:eastAsia="Open Sans Light" w:hAnsi="Open Sans Light"/>
        <w:color w:val="434343"/>
        <w:sz w:val="20"/>
        <w:szCs w:val="20"/>
        <w:highlight w:val="white"/>
      </w:rPr>
    </w:pPr>
    <w:r w:rsidDel="00000000" w:rsidR="00000000" w:rsidRPr="00000000">
      <w:rPr>
        <w:rFonts w:ascii="Open Sans Light" w:cs="Open Sans Light" w:eastAsia="Open Sans Light" w:hAnsi="Open Sans Light"/>
        <w:color w:val="434343"/>
        <w:sz w:val="20"/>
        <w:szCs w:val="20"/>
        <w:rtl w:val="0"/>
      </w:rPr>
      <w:t xml:space="preserve"> P. 702.829.6234 |  F. </w:t>
    </w:r>
    <w:r w:rsidDel="00000000" w:rsidR="00000000" w:rsidRPr="00000000">
      <w:rPr>
        <w:rFonts w:ascii="Open Sans Light" w:cs="Open Sans Light" w:eastAsia="Open Sans Light" w:hAnsi="Open Sans Light"/>
        <w:color w:val="434343"/>
        <w:sz w:val="20"/>
        <w:szCs w:val="20"/>
        <w:highlight w:val="white"/>
        <w:rtl w:val="0"/>
      </w:rPr>
      <w:t xml:space="preserve">702.829.6249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2257425" cy="90085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57425" cy="900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ageBreakBefore w:val="0"/>
      <w:spacing w:line="360" w:lineRule="auto"/>
      <w:ind w:left="-15" w:firstLine="0"/>
      <w:jc w:val="center"/>
      <w:rPr/>
    </w:pPr>
    <w:r w:rsidDel="00000000" w:rsidR="00000000" w:rsidRPr="00000000">
      <w:rPr>
        <w:rFonts w:ascii="Source Code Pro" w:cs="Source Code Pro" w:eastAsia="Source Code Pro" w:hAnsi="Source Code Pro"/>
        <w:color w:val="424242"/>
        <w:sz w:val="20"/>
        <w:szCs w:val="20"/>
      </w:rPr>
      <w:drawing>
        <wp:inline distB="114300" distT="114300" distL="114300" distR="114300">
          <wp:extent cx="5715000" cy="27432"/>
          <wp:effectExtent b="0" l="0" r="0" t="0"/>
          <wp:docPr descr="horizontal line" id="3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2">
                    <a:alphaModFix amt="47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0" cy="274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thenestledrecovery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penSansLight-regular.ttf"/><Relationship Id="rId6" Type="http://schemas.openxmlformats.org/officeDocument/2006/relationships/font" Target="fonts/OpenSansLight-bold.ttf"/><Relationship Id="rId7" Type="http://schemas.openxmlformats.org/officeDocument/2006/relationships/font" Target="fonts/OpenSansLight-italic.ttf"/><Relationship Id="rId8" Type="http://schemas.openxmlformats.org/officeDocument/2006/relationships/font" Target="fonts/OpenSans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